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04226A">
        <w:rPr>
          <w:sz w:val="26"/>
          <w:szCs w:val="26"/>
        </w:rPr>
        <w:t>68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>о одномандатному избирательному округу № 1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CB7244">
        <w:rPr>
          <w:sz w:val="26"/>
          <w:szCs w:val="26"/>
        </w:rPr>
        <w:t xml:space="preserve">1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1 </w:t>
      </w:r>
      <w:r w:rsidR="0004226A">
        <w:rPr>
          <w:sz w:val="26"/>
          <w:szCs w:val="26"/>
        </w:rPr>
        <w:t>Пронина Александра Геннадиевича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04226A">
        <w:rPr>
          <w:sz w:val="26"/>
          <w:szCs w:val="26"/>
        </w:rPr>
        <w:t>Пронину</w:t>
      </w:r>
      <w:proofErr w:type="gramEnd"/>
      <w:r w:rsidR="0004226A">
        <w:rPr>
          <w:sz w:val="26"/>
          <w:szCs w:val="26"/>
        </w:rPr>
        <w:t xml:space="preserve"> Александру Геннадиевичу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1.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2024-09-10T07:20:00Z</dcterms:created>
  <dcterms:modified xsi:type="dcterms:W3CDTF">2024-09-10T07:49:00Z</dcterms:modified>
</cp:coreProperties>
</file>